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天津市儿童医院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唯一一所三级甲等综合性儿科医院，同时为天津大学非直属附属医院、天津医科大学及南开大学医学院儿科临床学院。医院汇聚优质医疗资源，集医疗、教学、科研、预防、保健、康复、健康管理七大功能于一体，是国家儿童区域医疗中心、国家卫生健康委重点专科建设单位。医院包括河西马场、北辰龙岩、滨海展望三大院区，共计开放床位1721张，实行人员、技术、设备一体化运营，医疗服务辐射全国31个省市，是华北地区极具影响力的综合性儿科诊疗中心</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天津市儿童医院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天津市儿童医院本级（内设21个职能处室）和0个所属预算单位（不含本级）,具体构成如下：1.天津市儿童医院本级。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天津市儿童医院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94000052.60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1473517686.76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160630.00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1666483304.63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27949133.32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1595466872.68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1666643934.63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74155005.82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7102020.68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10079964.55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7102020.68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1676723899.18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1676723899.18</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1595466872.68</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94000052.60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1473517686.76</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27949133.32</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160630.00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160630.00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160630.00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160630.00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160630.00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160630.00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1595306242.68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93839422.60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1473517686.76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27949133.32</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1584813127.84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83346307.76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1473517686.76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27949133.32</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2100207</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儿童医院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1584813127.84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83346307.76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1473517686.76</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27949133.32</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10259114.84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10259114.84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7646114.84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7646114.84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天津市儿童医院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1676723899.18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1595466872.68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94000052.60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1473517686.76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27949133.32</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368207</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天津市儿童医院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1676723899.18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1595466872.68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94000052.60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1473517686.76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27949133.32</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天津市儿童医院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81257026.50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81257026.50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81257026.50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368207</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天津市儿童医院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81257026.50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81257026.50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81257026.50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1666643934.63</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1182572624.49</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484071310.14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1666483304.63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1182572624.49</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483910680.14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1655990189.79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1172313509.65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483676680.14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2100207</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儿童医院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1655990189.79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1172313509.65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483676680.14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10259114.84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10259114.84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7646114.84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7646114.84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94000052.60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160630.00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160630.00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93839422.60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93839422.60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94000052.60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94000052.60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94000052.60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94000052.60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94000052.60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94000052.60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天津市儿童医院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94000052.60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77619114.84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76618114.84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1001000.00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16380937.76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160630.00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93839422.60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77619114.84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76618114.84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1001000.00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16220307.76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83346307.76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67360000.00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66359000.00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1001000.00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15986307.76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儿童医院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83346307.76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67360000.00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66359000.00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1001000.00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15986307.76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234000.00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10259114.84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10259114.84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10259114.84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7646114.84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7646114.84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7646114.84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71592000.00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1001000.00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61507000.00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7638000.00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1001000.00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723000.00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1724000.00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5026114.84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4113000.00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897114.84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76618114.84</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1001000.00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天津市儿童医院2025年度政府性基金预算财政拨款收入支出决算表为空表。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天津市儿童医院2025年度国有资本经营预算财政拨款收入支出决算表为空表。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天津市儿童医院2025年财政拨款“三公”经费支出决算表为空表。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天津市儿童医院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484071310.14</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16380937.76</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467690372.38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第二批卫生健康行业高层次人才选拔培养工程第一年度资助经费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483910680.14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16220307.76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467690372.38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483676680.14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15986307.76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467690372.38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儿童医院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483676680.14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15986307.76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467690372.38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住院医师规范化培训-01直达资金-2024年医疗服务与保障能力提升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儿科同等学力资助（2025年市级）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第二批患者救治费用（2025市级）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卫生健康质控中心管理（2025年市级）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85269.00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85269.00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337500.00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公立医院综合改革（2025年中央医疗服务与保障能力提升）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危重孕产妇和新生儿诊断救治能力提升（危重新生儿救治中心）（2025年中央医疗服务与保障能力提升）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2385768.13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2385768.13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紧缺人才培训（儿科医师转岗培训）（2025年中央医疗服务与保障能力提升）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紧缺人才培训（临床药师（药师岗位培训））（2025年中央医疗服务与保障能力提升）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中西医协同“旗舰”科室（2025年中央中医药事业传承与发展）</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儿科医师岗位补助（2025年市级）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626826.63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626826.63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患者救治费用(2025年市级）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传染病监测预警与应急指挥能力提升（传染病四大症候群监测）——2025年中央医疗服务与保障能力提升（机构和人才）（第二批）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紧缺人才培训（儿科医师转岗培训）——2025年第二批中央医疗服务与保障能力提升（卫生健康人才培养）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儿科医疗服务能力建设——2025年第二批中央医疗服务与保障能力提升（医疗卫生机构能力建设）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紧缺人才培训（临床药师（药师上岗培训））——2025年第二批中央医疗服务与保障能力提升（卫生健康人才培养）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2025年全国名老中医药专家传承工作室建设（2025年中央中医药事业传承与发展）（第二批）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67247.00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67247.00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天津市儿童医院专科学科能力建设（2025年一般债券）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6389697.00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6389697.00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患者救治费用（2025市级）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科教资金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526654.62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526654.62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自有收入-药品耗材及资产购置（2025年）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467163717.76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467163717.76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重点传染病及健康危害因素监测(妇幼卫生监测）（2025年中央重大公共卫生服务）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重点传染病及健康危害因素监测（新冠变异监测（本土变异监测））（2025年中央重大公共卫生服务）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重点传染病及健康危害因素监测（人禽、SARS等重点传染病监测）（2025年中央重大公共卫生服务）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重点传染病及健康危害因素监测（细菌性传染病监测（国家致病菌识别网））（2025年中央重大公共卫生服务）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重点传染病及健康危害因素监测（重点呼吸道传染病监测）(2025年中央重大公共卫生服务）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1,676,723,899.18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减少358,142,120.56元，下降17.60%</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出生率降低，导致门诊、住院患者减少，相应收支减少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一般公共预算财政拨款收入94,000,052.60元、事业收入1,473,517,686.76元、其他收入27,949,133.32元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社会保障和就业支出160,630.00元、卫生健康支出1,666,483,304.63元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天津市儿童医院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1,595,466,872.68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减少421,478,717.38元，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出生率降低，导致门诊、住院患者减少，相应收入减少</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一般公共预算财政拨款收入94,000,052.60元，占5.89%；事业收入1,473,517,686.76元，占92.36%；其他收入27,949,133.32元，占1.75%</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天津市儿童医院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1,666,643,934.63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减少359,389,257.98元，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出生率降低，导致门诊、住院患者减少，相应支出减少</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基本支出1,182,572,624.49元，占70.96%；项目支出484,071,310.14元，占29.04%</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94,000,052.60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增加8,184,565.29元，增长9.54%，</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本年新增“天津市儿童医院专科学科能力建设（2025年一般债券）”项目金额较大</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一般公共预算财政拨款94,000,052.60元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社会保障和就业支出160,630.00元、卫生健康支出93,839,422.60元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天津市儿童医院2025年度一般公共预算财政拨款支出合计94,000,052.60元，占本年支出合计的5.64%。与2024年度相比，一般公共预算财政拨款支出</w:t>
      </w:r>
      <w:r>
        <w:rPr>
          <w:rFonts w:eastAsia="仿宋_GB2312" w:hint="eastAsia"/>
          <w:sz w:val="30"/>
          <w:szCs w:val="30"/>
          <w:highlight w:val="none"/>
          <w:lang w:val="en-US" w:eastAsia="zh-CN"/>
        </w:rPr>
        <w:t xml:space="preserve">增加8,184,565.29元</w:t>
      </w:r>
      <w:r>
        <w:rPr>
          <w:rFonts w:eastAsia="仿宋_GB2312" w:hint="eastAsia"/>
          <w:sz w:val="30"/>
          <w:szCs w:val="30"/>
          <w:highlight w:val="none"/>
          <w:lang w:val="en-US" w:eastAsia="zh-CN"/>
        </w:rPr>
        <w:t xml:space="preserve">，增长9.54%</w:t>
      </w:r>
      <w:r>
        <w:rPr>
          <w:rFonts w:eastAsia="仿宋_GB2312" w:hint="eastAsia"/>
          <w:sz w:val="30"/>
          <w:szCs w:val="30"/>
          <w:highlight w:val="none"/>
          <w:lang w:val="en-US" w:eastAsia="zh-CN"/>
        </w:rPr>
        <w:t xml:space="preserve">，主要原因是本年新增“天津市儿童医院专科学科能力建设（2025年一般债券）”项目金额较大。</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2025年度一般公共预算财政拨款支出94,000,052.60元，主要用于以下方面：</w:t>
      </w:r>
      <w:r>
        <w:rPr>
          <w:rFonts w:eastAsia="仿宋_GB2312" w:hint="eastAsia"/>
          <w:sz w:val="30"/>
          <w:szCs w:val="30"/>
          <w:highlight w:val="none"/>
        </w:rPr>
        <w:t xml:space="preserve">社会保障和就业支出（类）支出160,630.00元，占0.17%，卫生健康支出（类）支出93,839,422.60元，占99.83%</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2025年度一般公共预算财政拨款支出年初预算为86,083,000.00元，支出决算为94,000,052.60元</w:t>
      </w:r>
      <w:r>
        <w:rPr>
          <w:rFonts w:eastAsia="仿宋_GB2312" w:hint="eastAsia"/>
          <w:sz w:val="30"/>
          <w:szCs w:val="30"/>
          <w:highlight w:val="none"/>
          <w:lang w:val="en-US" w:eastAsia="zh-CN"/>
        </w:rPr>
        <w:t xml:space="preserve">，完成年初预算的109.20%</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1.社会保障和就业支出（类）人力资源和社会保障管理事务（款）引进人才费用（项）年初预算为0.00元，支出决算为160,630.00元，决算数大于年初预算数的主要原因是：2025年中期财政拨款，年初无此项目预算。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卫生健康支出（类）公立医院（款）儿童医院（项）年初预算为75,578,000.00元，支出决算为83,346,307.76元，完成年初预算的110.28%，决算数大于年初预算数的主要原因是：2025年中期财政追加“天津市儿童医院专科学科能力建设（2025年一般债券）”、“儿科医疗服务能力建设-2025年第二批中央医疗服务与保障能力提升（医疗卫生机构能力建设）”等财政项目拨款，当年财政拨款大于年初预算数。</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3.卫生健康支出（类）公共卫生（款）重大公共卫生服务（项）年初预算为234,000.00元，支出决算为234,000.00元，完成年初预算的100.00%，决算数与年初预算数持平的主要原因是：当年预算已执行完毕。</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事业单位医疗（项）年初预算为7,658,000.00元，支出决算为7,646,114.84元，完成年初预算的99.84%，决算数小于年初预算数的主要原因是：离休干部医药费实际支出小于财政拨款。</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其他行政事业单位医疗支出（项）年初预算为2,613,000.00元，支出决算为2,613,000.00元，完成年初预算的100.00%，决算数与年初预算数持平的主要原因是：当年预算已执行完毕。</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天津市儿童医院2025年度一般公共预算财政拨款基本支出合计77,619,114.84元，与2024年度相比</w:t>
      </w:r>
      <w:r>
        <w:rPr>
          <w:rFonts w:eastAsia="仿宋_GB2312" w:hint="eastAsia"/>
          <w:sz w:val="30"/>
          <w:szCs w:val="30"/>
          <w:highlight w:val="none"/>
          <w:lang w:val="en-US" w:eastAsia="zh-CN"/>
        </w:rPr>
        <w:t xml:space="preserve">减少384,485.16元，</w:t>
      </w:r>
      <w:r>
        <w:rPr>
          <w:rFonts w:eastAsia="仿宋_GB2312" w:hint="eastAsia"/>
          <w:sz w:val="30"/>
          <w:szCs w:val="30"/>
          <w:highlight w:val="none"/>
          <w:lang w:val="en-US" w:eastAsia="zh-CN"/>
        </w:rPr>
        <w:t xml:space="preserve">主要原因是财政拨人员经费减少。</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人员经费76,618,114.84元，主要包括</w:t>
      </w:r>
      <w:r>
        <w:rPr>
          <w:rFonts w:eastAsia="仿宋_GB2312" w:hint="eastAsia"/>
          <w:sz w:val="30"/>
          <w:szCs w:val="30"/>
          <w:highlight w:val="none"/>
          <w:lang w:val="en-US" w:eastAsia="zh-CN"/>
        </w:rPr>
        <w:t xml:space="preserve">机关事业单位基本养老保险缴费、职工基本医疗保险缴费、其他社会保障缴费、医疗费、离休费、退休费、医疗费补助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公用经费1,001,000.00元，主要包括</w:t>
      </w:r>
      <w:r>
        <w:rPr>
          <w:rFonts w:eastAsia="仿宋_GB2312" w:hint="eastAsia"/>
          <w:sz w:val="30"/>
          <w:szCs w:val="30"/>
          <w:highlight w:val="none"/>
          <w:lang w:val="en-US" w:eastAsia="zh-CN"/>
        </w:rPr>
        <w:t xml:space="preserve">物业管理费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决算数与预算数持平的主要原因是本年度一般公共预算未安排“三公”经费；</w:t>
      </w:r>
      <w:r>
        <w:rPr>
          <w:rFonts w:eastAsia="仿宋_GB2312" w:hint="eastAsia"/>
          <w:sz w:val="30"/>
          <w:szCs w:val="30"/>
          <w:highlight w:val="none"/>
          <w:lang w:val="en-US" w:eastAsia="zh-CN"/>
        </w:rPr>
        <w:t xml:space="preserve">决算数较上年持平的主要原因是本年度一般公共预算未安排“三公”经费。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儿童医院2025年政府采购支出总额149,807,469.46元，其中：政府采购货物支出13,690,445.00元、政府采购工程支出0.00元、政府采购服务支出136,117,024.46元。授予中小企业合同金额140,296,469.46元，占政府采购支出总额的93.65%，其中：授予小微企业合同金额18,487,645.00元，占政府采购支出总额的12.34%；货物采购授予中小企业合同金额占货物支出金额的47.14%，工程采购授予中小企业合同金额占工程支出金额的0.00%，服务采购授予中小企业合同金额占服务支出金额的98.33%。</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截至2025年12月31日，天津市儿童医院共有车辆7辆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应急保障用车3辆、其他用车4辆</w:t>
      </w:r>
      <w:r>
        <w:rPr>
          <w:rFonts w:eastAsia="仿宋_GB2312" w:hint="eastAsia"/>
          <w:sz w:val="30"/>
          <w:szCs w:val="30"/>
          <w:highlight w:val="none"/>
          <w:lang w:val="en-US" w:eastAsia="zh-CN"/>
        </w:rPr>
        <w:t xml:space="preserve">，其他用车主要包括公务用车等</w:t>
      </w:r>
      <w:r>
        <w:rPr>
          <w:rFonts w:eastAsia="仿宋_GB2312" w:hint="eastAsia"/>
          <w:sz w:val="30"/>
          <w:szCs w:val="30"/>
          <w:highlight w:val="none"/>
          <w:lang w:val="en-US" w:eastAsia="zh-CN"/>
        </w:rPr>
        <w:t xml:space="preserve">。单价100万元以上的设备148台（套）。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根据预算绩效管理要求,天津市儿童医院已对11个2025年度市级项目开展绩效自评,涉及金额13291000元,自评结果已随部门决算一并公开。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天津市儿童医院不属于乡、镇、街级单位，不涉及公开2025年度教育、医疗卫生、社会保障和就业、住房保障、涉农补贴等民生支出情况。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44323343-061F-4D59-A3C9-203EED7EAFF6}"/>
    <w:embedBold r:id="rId2" w:subsetted="1" w:fontKey="{1EF43319-DFD8-4B56-AEA4-85102EE860CA}"/>
  </w:font>
  <w:font w:name="Cambria">
    <w:panose1 w:val="02040503050406030204"/>
    <w:charset w:val="00"/>
    <w:family w:val="roman"/>
    <w:pitch w:val="default"/>
    <w:sig w:usb0="E00006FF" w:usb1="420024FF" w:usb2="02000000" w:usb3="00000000" w:csb0="2000019F" w:csb1="00000000"/>
    <w:embedRegular r:id="rId3" w:fontKey="{B803B7B7-6897-42BB-99F4-EA6DDE620660}"/>
  </w:font>
  <w:font w:name="Calibri">
    <w:panose1 w:val="020F0502020204030204"/>
    <w:charset w:val="00"/>
    <w:family w:val="swiss"/>
    <w:pitch w:val="default"/>
    <w:sig w:usb0="E4002EFF" w:usb1="C200247B" w:usb2="00000009" w:usb3="00000000" w:csb0="200001FF" w:csb1="00000000"/>
    <w:embedRegular r:id="rId4" w:fontKey="{E3AC7891-38DD-4B8F-80AD-90A643E915C1}"/>
  </w:font>
  <w:font w:name="黑体">
    <w:panose1 w:val="02010609060101010101"/>
    <w:charset w:val="FFFFFF86"/>
    <w:family w:val="auto"/>
    <w:pitch w:val="default"/>
    <w:sig w:usb0="800002BF" w:usb1="38CF7CFA" w:usb2="00000016" w:usb3="00000000" w:csb0="00040001" w:csb1="00000000"/>
    <w:embedRegular r:id="rId5" w:subsetted="1" w:fontKey="{0C4F1493-7E91-481B-A3FE-C6F16693CD48}"/>
    <w:embedBold r:id="rId6" w:subsetted="1" w:fontKey="{347298ED-6518-4CFD-B78D-8EBC1B36EC2E}"/>
  </w:font>
  <w:font w:name="方正小标宋简体">
    <w:altName w:val="黑体"/>
    <w:panose1 w:val="02000000000000000000"/>
    <w:charset w:val="FFFFFF86"/>
    <w:family w:val="auto"/>
    <w:pitch w:val="default"/>
    <w:sig w:usb0="00000001" w:usb1="08000000" w:usb2="00000000" w:usb3="00000000" w:csb0="00040000" w:csb1="00000000"/>
    <w:embedRegular r:id="rId7" w:fontKey="{A0DE259B-DA1B-49CD-91A2-C1217E16CE4E}"/>
    <w:embedBold r:id="rId8" w:fontKey="{B792ABA0-7CD9-4E3A-A19C-4838F2460380}"/>
  </w:font>
  <w:font w:name="仿宋">
    <w:panose1 w:val="02010609060101010101"/>
    <w:charset w:val="FFFFFF86"/>
    <w:family w:val="auto"/>
    <w:pitch w:val="default"/>
    <w:sig w:usb0="800002BF" w:usb1="38CF7CFA" w:usb2="00000016" w:usb3="00000000" w:csb0="00040001" w:csb1="00000000"/>
    <w:embedRegular r:id="rId9" w:subsetted="1" w:fontKey="{48A5F382-BDF2-4DDB-BB08-F2E4170B392A}"/>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B54304C3-1368-436D-AF3E-92E8C673C111}"/>
  </w:font>
  <w:font w:name="方正楷体_GB2312">
    <w:altName w:val="宋体"/>
    <w:panose1 w:val="02000000000000000000"/>
    <w:charset w:val="FFFFFF86"/>
    <w:family w:val="auto"/>
    <w:pitch w:val="default"/>
    <w:sig w:usb0="A00002BF" w:usb1="184F6CFA" w:usb2="00000012" w:usb3="00000000" w:csb0="00040001" w:csb1="00000000"/>
    <w:embedRegular r:id="rId11" w:fontKey="{2DAAC466-0A69-4A43-B5F2-681C01BFAADE}"/>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94346EC5-A650-41FE-8A4F-3567D3FD562E}"/>
    <w:embedBold r:id="rId13" w:subsetted="1" w:fontKey="{43237E37-7807-40EB-96C6-233E8069D70B}"/>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5</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28</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31</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